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5" w:space="0" w:color="000000"/>
          <w:left w:val="none" w:sz="5" w:space="0" w:color="000000"/>
          <w:bottom w:val="none" w:sz="5" w:space="0" w:color="000000"/>
          <w:right w:val="none" w:sz="5" w:space="0" w:color="000000"/>
          <w:insideH w:val="none" w:sz="5" w:space="0" w:color="000000"/>
          <w:insideV w:val="none" w:sz="5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8C7C59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7C59" w:rsidRDefault="00FB7D5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8C7C59" w:rsidRDefault="00FB7D5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8C7C59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</w:tr>
      <w:tr w:rsidR="008C7C59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8C7C5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8C7C59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01.01.2023</w:t>
            </w:r>
          </w:p>
        </w:tc>
      </w:tr>
      <w:tr w:rsidR="008C7C59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</w:tr>
      <w:tr w:rsidR="008C7C5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</w:tr>
      <w:tr w:rsidR="008C7C5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</w:tr>
      <w:tr w:rsidR="008C7C5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</w:tr>
      <w:tr w:rsidR="008C7C5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0"/>
              </w:rPr>
            </w:pPr>
          </w:p>
        </w:tc>
      </w:tr>
      <w:tr w:rsidR="008C7C59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Управление главного архитектора администрации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980</w:t>
            </w:r>
          </w:p>
        </w:tc>
      </w:tr>
      <w:tr w:rsidR="008C7C59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</w:tr>
      <w:tr w:rsidR="008C7C59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8C7C59" w:rsidRDefault="00FB7D52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20701000</w:t>
            </w:r>
          </w:p>
        </w:tc>
      </w:tr>
      <w:tr w:rsidR="008C7C59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</w:tr>
      <w:tr w:rsidR="008C7C5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8C7C5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</w:tr>
      <w:tr w:rsidR="008C7C59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</w:tr>
    </w:tbl>
    <w:p w:rsidR="008C7C59" w:rsidRPr="00045DE1" w:rsidRDefault="00FB7D52">
      <w:pPr>
        <w:ind w:firstLine="72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главного архитектора администрации городского округа город Воронеж (далее - Управление) является структурным подразделением администрации городского округа город Воронеж, осуществляющим функции в области градостроительной и архитектурной деятельности на территории городского округа город Воронеж.</w:t>
      </w:r>
    </w:p>
    <w:p w:rsidR="008C7C59" w:rsidRPr="00045DE1" w:rsidRDefault="00FB7D52">
      <w:pPr>
        <w:ind w:firstLine="720"/>
        <w:jc w:val="both"/>
        <w:rPr>
          <w:sz w:val="24"/>
          <w:szCs w:val="24"/>
        </w:rPr>
      </w:pP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ВГД от 26.09.2012 № 908-III "О наделении правами юридического лица управления главного архитектора администрации городского округа город Воронеж" Управление имеет права юридического лица, является главным распорядителем и получателем средств бюджета городского округа город Воронеж,  главным администратором доходов бюджета городского округа город Воронеж, по вопросам, входящим в его компетенцию, наделено правами муниципального заказчика.</w:t>
      </w:r>
      <w:proofErr w:type="gramEnd"/>
    </w:p>
    <w:p w:rsidR="008C7C59" w:rsidRPr="00045DE1" w:rsidRDefault="00FB7D52">
      <w:pPr>
        <w:ind w:firstLine="72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Решением ВГД от 20.02.2013 № 1089-III "О внесении изменений в решение ВГД от 26.09.2012 № 908-III "О 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наделени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правами юридического лица управления главного архитектора администрации городского округа город Воронеж" (в ред.</w:t>
      </w:r>
      <w:proofErr w:type="gram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решения Воронежской городской Думы от 27.03.2019 № 1088-IV) в наименование Управления внесены изменения. Полное и краткое наименования утверждены в следующей редакции: полное - управление главного архитектора администрации городского округа город Воронеж, краткое-УГА АГО г. Воронеж</w:t>
      </w: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   </w:t>
      </w:r>
    </w:p>
    <w:p w:rsidR="008C7C59" w:rsidRPr="00045DE1" w:rsidRDefault="00FB7D52">
      <w:pPr>
        <w:ind w:firstLine="72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Управление, как главный администратор доходов, имеет лицевой счет администратора доходов бюджета 04313002460 в УФК по Воронежской области. </w:t>
      </w: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решения ВГД от 22.12.2021 № 370-V "О бюджете городского округа город Воронеж на 2022 год и на плановый период 2023 и 2024 годов", приказом руководителя управления от 27.12.2021г. № 719 "О наделении полномочиями администратора доходов городского бюджета" (в ред. от 24.11.2022 № 1100) за Управлением закреплены полномочия по администрированию следующих кодов доходов: </w:t>
      </w:r>
      <w:proofErr w:type="gramEnd"/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980 1 16 10061 04 0000 140; план 0,0 руб., факт 0,0 руб.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</w:r>
      <w:proofErr w:type="gram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фонда);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980 1 16 07010 04 0000 140; план 730 000,0 руб., факт 160 693,87 руб.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округа;</w:t>
      </w:r>
      <w:proofErr w:type="gramEnd"/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980 1 16 07090 04 0000 140; план 0,0 руб., факт 0,0 руб. 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округа;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980 1 16 10081 04 0000 140; план 0,0 руб., факт 0,0 руб.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фонда);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980 1 17 01040 04 0000 180; план 0,0 руб., факт 0,0 руб.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Невыясненные поступления, зачисляемые в бюджеты городских округов;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980 2 02 29999 04 0000 150; план 5 561 720 руб., факт</w:t>
      </w:r>
      <w:r w:rsidRPr="00045DE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2 741 500,0</w:t>
      </w:r>
      <w:r w:rsidRPr="00045DE1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руб.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Прочие субсидии бюджетам городских округов;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980 1 17 05040 04 0000 180; план 0,0 руб., факт 0,0 руб.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Прочие неналоговые доходы бюджетов городских округов;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980 1 13 01074 04 0000 130; план 54 000,0 руб., факт 4600,0 руб.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Доходы от оказания  информационных услуг органами местного самоуправления городских округов, казенными учреждениями городских округов;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9. 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980 1 13 02994 04 0000 130; план 0,0 руб., факт 180 000,00 руб.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Прочие доходы от компенсации затрат бюджетов городских округов"</w:t>
      </w:r>
    </w:p>
    <w:p w:rsidR="008C7C59" w:rsidRPr="00045DE1" w:rsidRDefault="00FB7D52">
      <w:pPr>
        <w:ind w:firstLine="72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C7C59" w:rsidRPr="00045DE1" w:rsidRDefault="00FB7D52">
      <w:pPr>
        <w:ind w:firstLine="72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Смета расходов Управления на 2022г. утверждена решением Воронежской городской Думы от 22.12.2021 № 370-V "О бюджете городского округа город Воронеж на 2022 год и на плановый период 2023 и 2024 годов" в сумме 31 731,789 тыс. руб.</w:t>
      </w:r>
    </w:p>
    <w:p w:rsidR="008C7C59" w:rsidRPr="00045DE1" w:rsidRDefault="00FB7D52">
      <w:pPr>
        <w:ind w:firstLine="72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исполнения бюджета проводилось уточнение бюджетных ассигнований  и уточненный план на 2022 год составил 14 803,12 тыс. руб., исполнение за 2022 год составило</w:t>
      </w:r>
      <w:r w:rsidRPr="00045DE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10 756,52 тыс.  руб.  или 72,7 %</w:t>
      </w:r>
      <w:r w:rsidRPr="00045DE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 </w:t>
      </w: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0503127).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главного архитектора администрации городского округа город Воронеж (далее – Управление) в 2022 году являлось соисполнителем-главным распорядителем бюджетных средств  </w:t>
      </w:r>
      <w:r w:rsidRPr="00045DE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2-х</w:t>
      </w: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муниципальных программ, финансируемых из городского и областного бюджетов, в том числе: </w:t>
      </w:r>
      <w:proofErr w:type="gramEnd"/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I. Подпрограмма 4 «Обеспечение градостроительной деятельности» МП «Обеспечение доступным и комфортным жильем населения городского округа город Воронеж» (ответственный исполнитель – управление жилищных отношений администрации городского округа город Воронеж»), утверждена постановлением администрации городского округа город Воронеж от 24.12.2013 №1274.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Уточненный план на 2022 год - </w:t>
      </w:r>
      <w:bookmarkStart w:id="0" w:name="_GoBack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11 281,64 тыс. руб. в 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. обл.</w:t>
      </w:r>
      <w:r w:rsidRPr="00045DE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5 561,72</w:t>
      </w:r>
      <w:bookmarkEnd w:id="0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., факт - 7 235,55</w:t>
      </w:r>
      <w:r w:rsidRPr="00045DE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тыс. руб. в 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обл.2 741,5 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тыс.руб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составляет</w:t>
      </w:r>
      <w:r w:rsidRPr="00045DE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64,1%.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проведения внутренней экспертизы выполненных работ и  контроля за качеством выполненной работы в </w:t>
      </w:r>
      <w:proofErr w:type="spellStart"/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proofErr w:type="spellEnd"/>
      <w:proofErr w:type="gram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тех.заданием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(приказ руководителя управления главного архитектора № 13 от 23.04.2015 (в ред. приказа руководителя управления главного архитектора  от 29.11.2018 № 235 и от 28.09.2020 № 97 "О создании приемочной комиссии) начислены и оплачены штрафные санкции в сумме 160 693,87 руб., в 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ООО "ТЕРПЛАНПРОЕКТ" по муниципальным контрактам №№ 4/ПМТ,                     5 /ПМТ,6/ПМТ на сумму 93 189, 12 руб. 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2. ООО "АЗИМУТ" по муниципальному контракту № 3/ПМТ на сумму 7 371,0 руб.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3. ООО "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Геоизыскания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" по муниципальным контрактам №№ 2/ПМТ, 9/ПМТ, 10/ПМТ на сумму 51 760,0 руб.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4.ООО "РЕГИОНАЛЬНОЕ АГЕНТСТВО ОЦЕНКИ И ПЛАНИРОВАНИЯ" по муниципальному контракту № 7/ПМТ на сумму 8373,75 руб.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45DE1">
        <w:rPr>
          <w:rFonts w:ascii="Calibri" w:eastAsia="Calibri" w:hAnsi="Calibri" w:cs="Calibri"/>
          <w:i/>
          <w:color w:val="000000"/>
          <w:sz w:val="24"/>
          <w:szCs w:val="24"/>
        </w:rPr>
        <w:t>I</w:t>
      </w:r>
      <w:r w:rsidRPr="00045DE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I. Мероприятие 6 «Формирование и межевание земельных участков, занимаемых озелененными территориями общего пользования, постановка их  на кадастровый учет»  основного мероприятия 1 «Сохранение и развитие зеленого фонда городского округа» МП «Охрана окружающей среды» (ответственный исполнитель – управление экологии администрации городского округа город Воронеж), утверждена постановлением администрации городского округа город Воронеж от 20.12.2013 № 1239.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Уточненный план на 2022 год - 380,4 </w:t>
      </w:r>
      <w:proofErr w:type="spell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., факт 379,9 тыс. руб., исполнение составляет 99,9 %.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В 2022 году Управлению были возвращены денежные средства, перечисленные на депозитный счет Арбитражного суда Воронежской области в сумме 180,0 тыс. руб. для проведения судебной экспертизы по МК № 40/ПМТ (поставщик ООО "ЮПСС") от 28.10.2020 г. (Дело № А14-5660/2021 от 18.10.2021).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Федеральные целевые программы, национальные и инвестиционные проекты Управлением не исполнялись.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не имеет подведомственных учреждений.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составлением бюджетной отчетности за 2022г. проведена годовая инвентаризация активов и обязательств на основании приказов руководителя Управления от 15.12.2022 №1-инв, №2-инв, №3-инв</w:t>
      </w:r>
      <w:r w:rsidRPr="00045DE1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Расхождений по результатам проведения инвентаризации нет. 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на 01.01.2023 года составляет по счету 1 302 226 в сумме 1 595,16 тыс. руб., по счету 1 303 05   в сумме 1 595,16 тыс. руб. Просроченной кредиторской задолженности Управление не имеет.</w:t>
      </w:r>
    </w:p>
    <w:p w:rsidR="008C7C59" w:rsidRPr="00045DE1" w:rsidRDefault="00FB7D52">
      <w:pPr>
        <w:spacing w:line="276" w:lineRule="auto"/>
        <w:ind w:firstLine="70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Финансовых вложений не производилось. Государственного (муниципального) долга нет. Недостач и хищений денежных средств и материальных ценностей нет. Приносящей доход деятельности, иностранных кредитов, межбюджетных трансфертов нет.  В соответствие с п.8 инструкции 191-н  (в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</w:t>
      </w:r>
      <w:proofErr w:type="gramStart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</w:t>
      </w:r>
      <w:proofErr w:type="gramEnd"/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чем подлежит отражению в пояснительной записке к бюджетной отчетности за отчетный период).</w:t>
      </w:r>
    </w:p>
    <w:p w:rsidR="008C7C59" w:rsidRPr="00045DE1" w:rsidRDefault="00FB7D52">
      <w:pPr>
        <w:spacing w:line="276" w:lineRule="auto"/>
        <w:ind w:firstLine="720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в состав годового отчета за 2022 год  не вошли следующие формы годовой отчетности, не имеющие числового значения:</w:t>
      </w:r>
    </w:p>
    <w:p w:rsidR="008C7C59" w:rsidRPr="00045DE1" w:rsidRDefault="00FB7D52">
      <w:pPr>
        <w:spacing w:line="276" w:lineRule="auto"/>
        <w:jc w:val="both"/>
        <w:rPr>
          <w:sz w:val="24"/>
          <w:szCs w:val="24"/>
        </w:rPr>
      </w:pPr>
      <w:r w:rsidRPr="00045DE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0503167,0503168,0503171,0503172,0503173,0503174,0503190,0503184,0503117-НП, 0503128-НП.</w:t>
      </w:r>
    </w:p>
    <w:p w:rsidR="008C7C59" w:rsidRDefault="00FB7D52">
      <w:r>
        <w:rPr>
          <w:rFonts w:ascii="Calibri" w:eastAsia="Calibri" w:hAnsi="Calibri" w:cs="Calibri"/>
          <w:color w:val="000000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8C7C59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Pr="00045DE1" w:rsidRDefault="00045DE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5DE1"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Pr="00045D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руководителя 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8C7C59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Pr="00045DE1" w:rsidRDefault="00045DE1" w:rsidP="00045DE1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45DE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Г.Ю. Чурсанов</w:t>
            </w:r>
          </w:p>
        </w:tc>
      </w:tr>
      <w:tr w:rsidR="008C7C59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C7C59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8C7C59" w:rsidTr="00045DE1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C59" w:rsidRDefault="008C7C5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C59" w:rsidRDefault="008C7C59">
            <w:pPr>
              <w:rPr>
                <w:sz w:val="24"/>
              </w:rPr>
            </w:pPr>
          </w:p>
        </w:tc>
      </w:tr>
      <w:tr w:rsidR="008C7C59" w:rsidTr="00045DE1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C59" w:rsidRDefault="008C7C5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C59" w:rsidRDefault="008C7C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C59" w:rsidRDefault="008C7C5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C7C59" w:rsidTr="00045DE1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C59" w:rsidRDefault="008C7C59">
            <w:pPr>
              <w:rPr>
                <w:sz w:val="24"/>
              </w:rPr>
            </w:pPr>
          </w:p>
        </w:tc>
      </w:tr>
      <w:tr w:rsidR="008C7C59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Pr="00045DE1" w:rsidRDefault="00045DE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E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ФОО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C7C59" w:rsidRPr="00045DE1" w:rsidRDefault="00045DE1" w:rsidP="00045DE1">
            <w:pPr>
              <w:jc w:val="center"/>
              <w:rPr>
                <w:rFonts w:ascii="Times New Roman" w:hAnsi="Times New Roman" w:cs="Times New Roman"/>
                <w:sz w:val="24"/>
                <w:u w:val="single"/>
              </w:rPr>
            </w:pPr>
            <w:r w:rsidRPr="00045DE1">
              <w:rPr>
                <w:rFonts w:ascii="Times New Roman" w:hAnsi="Times New Roman" w:cs="Times New Roman"/>
                <w:sz w:val="24"/>
                <w:u w:val="single"/>
              </w:rPr>
              <w:t>С.И. Дятлова</w:t>
            </w:r>
          </w:p>
        </w:tc>
      </w:tr>
      <w:tr w:rsidR="008C7C59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8C7C5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FB7D5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8C7C59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FB7D5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8C7C59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7C59" w:rsidRDefault="008C7C59">
            <w:pPr>
              <w:rPr>
                <w:sz w:val="24"/>
              </w:rPr>
            </w:pPr>
          </w:p>
        </w:tc>
      </w:tr>
    </w:tbl>
    <w:p w:rsidR="008C7C59" w:rsidRDefault="00FB7D52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8C7C59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C59"/>
    <w:rsid w:val="00045DE1"/>
    <w:rsid w:val="00587403"/>
    <w:rsid w:val="008C7C59"/>
    <w:rsid w:val="00FB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Дятлова С.И.</dc:creator>
  <cp:lastModifiedBy>Дятлова С.И.</cp:lastModifiedBy>
  <cp:revision>4</cp:revision>
  <dcterms:created xsi:type="dcterms:W3CDTF">2023-01-18T14:36:00Z</dcterms:created>
  <dcterms:modified xsi:type="dcterms:W3CDTF">2024-06-11T08:55:00Z</dcterms:modified>
</cp:coreProperties>
</file>